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(IECA 2009)</w:t>
      </w:r>
      <w:r>
        <w:t xml:space="preserve">.</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 See main text for details on EVI calculation.</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 See main text for an explanation of greenning and browning.</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4-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orange</w:t>
      </w:r>
      <w:r>
        <w:t xml:space="preserve">) and southern ones: low-elevation (CA-Low;</w:t>
      </w:r>
      <w:r>
        <w:t xml:space="preserve"> </w:t>
      </w:r>
      <w:r>
        <w:rPr>
          <w:i/>
        </w:rPr>
        <w:t xml:space="preserve">blue</w:t>
      </w:r>
      <w:r>
        <w:t xml:space="preserve">) and high-elevation (CA-High,</w:t>
      </w:r>
      <w:r>
        <w:t xml:space="preserve"> </w:t>
      </w:r>
      <w:r>
        <w:rPr>
          <w:i/>
        </w:rPr>
        <w:t xml:space="preserve">black</w:t>
      </w:r>
      <w:r>
        <w:t xml:space="preserve">) sites. Shading areas correspond to standard error of the mean. Number of series are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4517571"/>
            <wp:effectExtent b="0" l="0" r="0" t="0"/>
            <wp:docPr descr="" title="" id="1" name="Picture"/>
            <a:graphic>
              <a:graphicData uri="http://schemas.openxmlformats.org/drawingml/2006/picture">
                <pic:pic>
                  <pic:nvPicPr>
                    <pic:cNvPr descr="0_figures_files/figure-docx/out_plot-28-1.png" id="0" name="Picture"/>
                    <pic:cNvPicPr>
                      <a:picLocks noChangeArrowheads="1" noChangeAspect="1"/>
                    </pic:cNvPicPr>
                  </pic:nvPicPr>
                  <pic:blipFill>
                    <a:blip r:embed="rId26"/>
                    <a:stretch>
                      <a:fillRect/>
                    </a:stretch>
                  </pic:blipFill>
                  <pic:spPr bwMode="auto">
                    <a:xfrm>
                      <a:off x="0" y="0"/>
                      <a:ext cx="6324600" cy="4517571"/>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8"/>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the tree-growth for the most severe drought events (as from Table S3).</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37-1.png" id="0" name="Picture"/>
                    <pic:cNvPicPr>
                      <a:picLocks noChangeArrowheads="1" noChangeAspect="1"/>
                    </pic:cNvPicPr>
                  </pic:nvPicPr>
                  <pic:blipFill>
                    <a:blip r:embed="rId30"/>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the northern population (San Juan, SJ;</w:t>
      </w:r>
      <w:r>
        <w:t xml:space="preserve"> </w:t>
      </w:r>
      <w:r>
        <w:rPr>
          <w:i/>
        </w:rPr>
        <w:t xml:space="preserve">black triangle</w:t>
      </w:r>
      <w:r>
        <w:t xml:space="preserve">) with the two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3-1.png" id="0" name="Picture"/>
                    <pic:cNvPicPr>
                      <a:picLocks noChangeArrowheads="1" noChangeAspect="1"/>
                    </pic:cNvPicPr>
                  </pic:nvPicPr>
                  <pic:blipFill>
                    <a:blip r:embed="rId3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8-1.png" id="0"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5" w:name="section-7"/>
      <w:bookmarkEnd w:id="35"/>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(584.9060741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53-1.png" id="0" name="Picture"/>
                    <pic:cNvPicPr>
                      <a:picLocks noChangeArrowheads="1" noChangeAspect="1"/>
                    </pic:cNvPicPr>
                  </pic:nvPicPr>
                  <pic:blipFill>
                    <a:blip r:embed="rId36"/>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7" w:name="section-8"/>
      <w:bookmarkEnd w:id="37"/>
    </w:p>
    <w:p>
      <w:pPr>
        <w:pStyle w:val="FirstParagraph"/>
      </w:pPr>
      <w:r>
        <w:rPr>
          <w:b/>
        </w:rPr>
        <w:t xml:space="preserve">Figure S2</w:t>
      </w:r>
      <w:r>
        <w:t xml:space="preserve">. Drought severity in the Sierra Nevada for the 1901-2016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 Horizontal gray bars indicate 2005 and 2012 year.</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1900-1.png" id="0" name="Picture"/>
                    <pic:cNvPicPr>
                      <a:picLocks noChangeArrowheads="1" noChangeAspect="1"/>
                    </pic:cNvPicPr>
                  </pic:nvPicPr>
                  <pic:blipFill>
                    <a:blip r:embed="rId3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3-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7-1.png" id="0" name="Picture"/>
                    <pic:cNvPicPr>
                      <a:picLocks noChangeArrowheads="1" noChangeAspect="1"/>
                    </pic:cNvPicPr>
                  </pic:nvPicPr>
                  <pic:blipFill>
                    <a:blip r:embed="rId43"/>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3-1.png" id="0" name="Picture"/>
                    <pic:cNvPicPr>
                      <a:picLocks noChangeArrowheads="1" noChangeAspect="1"/>
                    </pic:cNvPicPr>
                  </pic:nvPicPr>
                  <pic:blipFill>
                    <a:blip r:embed="rId45"/>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6" w:name="section-12"/>
      <w:bookmarkEnd w:id="46"/>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8-1.png" id="0" name="Picture"/>
                    <pic:cNvPicPr>
                      <a:picLocks noChangeArrowheads="1" noChangeAspect="1"/>
                    </pic:cNvPicPr>
                  </pic:nvPicPr>
                  <pic:blipFill>
                    <a:blip r:embed="rId47"/>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8" w:name="section-13"/>
      <w:bookmarkEnd w:id="48"/>
    </w:p>
    <w:p>
      <w:pPr>
        <w:pStyle w:val="FirstParagraph"/>
      </w:pPr>
      <w:r>
        <w:rPr>
          <w:b/>
        </w:rPr>
        <w:t xml:space="preserve">Figure S7.</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82-1.png" id="0" name="Picture"/>
                    <pic:cNvPicPr>
                      <a:picLocks noChangeArrowheads="1" noChangeAspect="1"/>
                    </pic:cNvPicPr>
                  </pic:nvPicPr>
                  <pic:blipFill>
                    <a:blip r:embed="rId49"/>
                    <a:stretch>
                      <a:fillRect/>
                    </a:stretch>
                  </pic:blipFill>
                  <pic:spPr bwMode="auto">
                    <a:xfrm>
                      <a:off x="0" y="0"/>
                      <a:ext cx="6324600" cy="6324600"/>
                    </a:xfrm>
                    <a:prstGeom prst="rect">
                      <a:avLst/>
                    </a:prstGeom>
                    <a:noFill/>
                    <a:ln w="9525">
                      <a:noFill/>
                      <a:headEnd/>
                      <a:tailEnd/>
                    </a:ln>
                  </pic:spPr>
                </pic:pic>
              </a:graphicData>
            </a:graphic>
          </wp:inline>
        </w:drawing>
      </w:r>
    </w:p>
    <w:bookmarkStart w:id="55" w:name="refs"/>
    <w:bookmarkStart w:id="50" w:name="ref-Canty2016"/>
    <w:p>
      <w:pPr>
        <w:pStyle w:val="Bibliografa"/>
      </w:pPr>
      <w:r>
        <w:t xml:space="preserve">Canty, A., and B. D. Ripley. 2016. Boot: Bootstrap r (s-plus) functions.</w:t>
      </w:r>
    </w:p>
    <w:bookmarkEnd w:id="50"/>
    <w:bookmarkStart w:id="51" w:name="ref-IECA2009"/>
    <w:p>
      <w:pPr>
        <w:pStyle w:val="Bibliografa"/>
      </w:pPr>
      <w:r>
        <w:t xml:space="preserve">IECA, I. de E. y C. de A. 2009. Digital colour orthophotograph of andalusia 2008-2009. Sevilla. Regional Government of Andalusia.</w:t>
      </w:r>
    </w:p>
    <w:bookmarkEnd w:id="51"/>
    <w:bookmarkStart w:id="52" w:name="ref-Nowacki1997"/>
    <w:p>
      <w:pPr>
        <w:pStyle w:val="Bibliografa"/>
      </w:pPr>
      <w:r>
        <w:t xml:space="preserve">Nowacki, G. J., and M. D. Abrams. 1997. Radial-growth averaging criteria for reconstructing disturbance histories from presettlement-origing oaks. Ecological Monographs 67:225–249.</w:t>
      </w:r>
    </w:p>
    <w:bookmarkEnd w:id="52"/>
    <w:bookmarkStart w:id="53" w:name="ref-Pascoa2017"/>
    <w:p>
      <w:pPr>
        <w:pStyle w:val="Bibliografa"/>
      </w:pPr>
      <w:r>
        <w:t xml:space="preserve">Páscoa, P., C. Gouveia, A. Russo, and R. Trigo. 2017. Drought trends in the Iberian Peninsula over the last 112 years. Advances in Meteorology:ID4653126.</w:t>
      </w:r>
    </w:p>
    <w:bookmarkEnd w:id="53"/>
    <w:bookmarkStart w:id="5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4"/>
    <w:bookmarkEnd w:id="5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2019-04-11T15:12:00Z</dcterms:created>
  <dcterms:modified xsi:type="dcterms:W3CDTF">2019-04-11T15:12:00Z</dcterms:modified>
</cp:coreProperties>
</file>